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74B91" w14:textId="77777777" w:rsidR="00EC499B" w:rsidRPr="00DF603D" w:rsidRDefault="00EC499B" w:rsidP="0092167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759B138" w14:textId="7D24900F" w:rsidR="00CC1861" w:rsidRPr="00DF603D" w:rsidRDefault="00EC499B" w:rsidP="00CC1861">
      <w:pPr>
        <w:spacing w:after="0"/>
        <w:jc w:val="right"/>
        <w:rPr>
          <w:rFonts w:ascii="Arial" w:hAnsi="Arial" w:cs="Arial"/>
        </w:rPr>
      </w:pPr>
      <w:r w:rsidRPr="00DF603D">
        <w:rPr>
          <w:rFonts w:ascii="Arial" w:hAnsi="Arial" w:cs="Arial"/>
        </w:rPr>
        <w:t xml:space="preserve">Communiqué de presse </w:t>
      </w:r>
    </w:p>
    <w:p w14:paraId="4E75125F" w14:textId="77777777" w:rsidR="00EC499B" w:rsidRDefault="00EC499B" w:rsidP="00EC499B">
      <w:pPr>
        <w:spacing w:after="0"/>
        <w:jc w:val="right"/>
        <w:rPr>
          <w:rFonts w:ascii="Arial" w:hAnsi="Arial" w:cs="Arial"/>
          <w:sz w:val="32"/>
          <w:szCs w:val="32"/>
        </w:rPr>
      </w:pPr>
    </w:p>
    <w:p w14:paraId="12C66616" w14:textId="77777777" w:rsidR="00DF603D" w:rsidRPr="00DF603D" w:rsidRDefault="00DF603D" w:rsidP="00EC499B">
      <w:pPr>
        <w:spacing w:after="0"/>
        <w:jc w:val="right"/>
        <w:rPr>
          <w:rFonts w:ascii="Arial" w:hAnsi="Arial" w:cs="Arial"/>
          <w:sz w:val="32"/>
          <w:szCs w:val="32"/>
        </w:rPr>
      </w:pPr>
    </w:p>
    <w:p w14:paraId="701406BC" w14:textId="01CDD85D" w:rsidR="00EC499B" w:rsidRPr="00DF603D" w:rsidRDefault="00EC499B" w:rsidP="00DF603D">
      <w:pPr>
        <w:spacing w:after="0"/>
        <w:jc w:val="center"/>
        <w:rPr>
          <w:rStyle w:val="lev"/>
          <w:rFonts w:ascii="Arial" w:hAnsi="Arial" w:cs="Arial"/>
          <w:color w:val="000000"/>
          <w:sz w:val="26"/>
          <w:szCs w:val="26"/>
        </w:rPr>
      </w:pPr>
      <w:r w:rsidRPr="00DF603D">
        <w:rPr>
          <w:rStyle w:val="lev"/>
          <w:rFonts w:ascii="Arial" w:hAnsi="Arial" w:cs="Arial"/>
          <w:color w:val="000000"/>
          <w:sz w:val="26"/>
          <w:szCs w:val="26"/>
        </w:rPr>
        <w:t>Christophe Vannoote, associé PDGB, contribue à l’édition 2025</w:t>
      </w:r>
      <w:r w:rsidR="00645955" w:rsidRPr="00DF603D">
        <w:rPr>
          <w:rStyle w:val="lev"/>
          <w:rFonts w:ascii="Arial" w:hAnsi="Arial" w:cs="Arial"/>
          <w:color w:val="000000"/>
          <w:sz w:val="26"/>
          <w:szCs w:val="26"/>
        </w:rPr>
        <w:t>-2026</w:t>
      </w:r>
      <w:r w:rsidR="00DF603D" w:rsidRPr="00DF603D">
        <w:rPr>
          <w:rStyle w:val="lev"/>
          <w:rFonts w:ascii="Arial" w:hAnsi="Arial" w:cs="Arial"/>
          <w:color w:val="000000"/>
          <w:sz w:val="26"/>
          <w:szCs w:val="26"/>
        </w:rPr>
        <w:t xml:space="preserve"> </w:t>
      </w:r>
      <w:r w:rsidRPr="00DF603D">
        <w:rPr>
          <w:rStyle w:val="lev"/>
          <w:rFonts w:ascii="Arial" w:hAnsi="Arial" w:cs="Arial"/>
          <w:color w:val="000000"/>
          <w:sz w:val="26"/>
          <w:szCs w:val="26"/>
        </w:rPr>
        <w:t xml:space="preserve">du Mémento Assemblées </w:t>
      </w:r>
      <w:r w:rsidR="00643258">
        <w:rPr>
          <w:rStyle w:val="lev"/>
          <w:rFonts w:ascii="Arial" w:hAnsi="Arial" w:cs="Arial"/>
          <w:color w:val="000000"/>
          <w:sz w:val="26"/>
          <w:szCs w:val="26"/>
        </w:rPr>
        <w:t>g</w:t>
      </w:r>
      <w:r w:rsidRPr="00DF603D">
        <w:rPr>
          <w:rStyle w:val="lev"/>
          <w:rFonts w:ascii="Arial" w:hAnsi="Arial" w:cs="Arial"/>
          <w:color w:val="000000"/>
          <w:sz w:val="26"/>
          <w:szCs w:val="26"/>
        </w:rPr>
        <w:t>énérales</w:t>
      </w:r>
    </w:p>
    <w:p w14:paraId="2FCA09FE" w14:textId="77777777" w:rsidR="00CC1861" w:rsidRDefault="00CC1861" w:rsidP="00EC499B">
      <w:pPr>
        <w:spacing w:after="0"/>
        <w:jc w:val="center"/>
        <w:rPr>
          <w:rStyle w:val="lev"/>
          <w:rFonts w:ascii="Arial" w:hAnsi="Arial" w:cs="Arial"/>
          <w:color w:val="000000"/>
          <w:sz w:val="28"/>
          <w:szCs w:val="28"/>
        </w:rPr>
      </w:pPr>
    </w:p>
    <w:p w14:paraId="222CD723" w14:textId="77777777" w:rsidR="00DF603D" w:rsidRPr="00DF603D" w:rsidRDefault="00DF603D" w:rsidP="00EC499B">
      <w:pPr>
        <w:spacing w:after="0"/>
        <w:jc w:val="center"/>
        <w:rPr>
          <w:rStyle w:val="lev"/>
          <w:rFonts w:ascii="Arial" w:hAnsi="Arial" w:cs="Arial"/>
          <w:color w:val="000000"/>
          <w:sz w:val="28"/>
          <w:szCs w:val="28"/>
        </w:rPr>
      </w:pPr>
    </w:p>
    <w:p w14:paraId="6F43D688" w14:textId="1DECD6D4" w:rsidR="00062C72" w:rsidRPr="00DF603D" w:rsidRDefault="00CC1861" w:rsidP="00E54DAE">
      <w:pPr>
        <w:spacing w:after="0" w:line="276" w:lineRule="auto"/>
        <w:jc w:val="both"/>
        <w:rPr>
          <w:rStyle w:val="lev"/>
          <w:rFonts w:ascii="Arial" w:hAnsi="Arial" w:cs="Arial"/>
          <w:color w:val="000000"/>
          <w:sz w:val="21"/>
          <w:szCs w:val="21"/>
        </w:rPr>
      </w:pPr>
      <w:r w:rsidRPr="004F36B5">
        <w:rPr>
          <w:rStyle w:val="lev"/>
          <w:rFonts w:ascii="Arial" w:hAnsi="Arial" w:cs="Arial"/>
          <w:color w:val="000000"/>
          <w:sz w:val="21"/>
          <w:szCs w:val="21"/>
        </w:rPr>
        <w:t xml:space="preserve">Paris, le </w:t>
      </w:r>
      <w:r w:rsidR="004F36B5" w:rsidRPr="004F36B5">
        <w:rPr>
          <w:rStyle w:val="lev"/>
          <w:rFonts w:ascii="Arial" w:hAnsi="Arial" w:cs="Arial"/>
          <w:color w:val="000000"/>
          <w:sz w:val="21"/>
          <w:szCs w:val="21"/>
        </w:rPr>
        <w:t>11</w:t>
      </w:r>
      <w:r w:rsidRPr="004F36B5">
        <w:rPr>
          <w:rStyle w:val="lev"/>
          <w:rFonts w:ascii="Arial" w:hAnsi="Arial" w:cs="Arial"/>
          <w:color w:val="000000"/>
          <w:sz w:val="21"/>
          <w:szCs w:val="21"/>
        </w:rPr>
        <w:t xml:space="preserve"> mars 2025</w:t>
      </w:r>
      <w:r w:rsidRPr="00DF603D">
        <w:rPr>
          <w:rStyle w:val="lev"/>
          <w:rFonts w:ascii="Arial" w:hAnsi="Arial" w:cs="Arial"/>
          <w:color w:val="000000"/>
          <w:sz w:val="21"/>
          <w:szCs w:val="21"/>
        </w:rPr>
        <w:t xml:space="preserve"> - </w:t>
      </w:r>
      <w:r w:rsidR="00645955" w:rsidRPr="00DF603D">
        <w:rPr>
          <w:rStyle w:val="lev"/>
          <w:rFonts w:ascii="Arial" w:hAnsi="Arial" w:cs="Arial"/>
          <w:color w:val="000000"/>
          <w:sz w:val="21"/>
          <w:szCs w:val="21"/>
        </w:rPr>
        <w:t xml:space="preserve">Christophe Vannoote, associé du cabinet PDGB, renouvelle sa participation à l’édition 2025-2026 du Mémento Assemblées </w:t>
      </w:r>
      <w:r w:rsidR="00643258">
        <w:rPr>
          <w:rStyle w:val="lev"/>
          <w:rFonts w:ascii="Arial" w:hAnsi="Arial" w:cs="Arial"/>
          <w:color w:val="000000"/>
          <w:sz w:val="21"/>
          <w:szCs w:val="21"/>
        </w:rPr>
        <w:t>g</w:t>
      </w:r>
      <w:r w:rsidR="00645955" w:rsidRPr="00DF603D">
        <w:rPr>
          <w:rStyle w:val="lev"/>
          <w:rFonts w:ascii="Arial" w:hAnsi="Arial" w:cs="Arial"/>
          <w:color w:val="000000"/>
          <w:sz w:val="21"/>
          <w:szCs w:val="21"/>
        </w:rPr>
        <w:t xml:space="preserve">énérales, un ouvrage de référence publié par les Éditions Francis Lefebvre. Fidèle contributeur depuis la première édition </w:t>
      </w:r>
      <w:r w:rsidR="00544203" w:rsidRPr="00DF603D">
        <w:rPr>
          <w:rStyle w:val="lev"/>
          <w:rFonts w:ascii="Arial" w:hAnsi="Arial" w:cs="Arial"/>
          <w:color w:val="000000"/>
          <w:sz w:val="21"/>
          <w:szCs w:val="21"/>
        </w:rPr>
        <w:t xml:space="preserve">en </w:t>
      </w:r>
      <w:r w:rsidR="00645955" w:rsidRPr="00DF603D">
        <w:rPr>
          <w:rStyle w:val="lev"/>
          <w:rFonts w:ascii="Arial" w:hAnsi="Arial" w:cs="Arial"/>
          <w:color w:val="000000"/>
          <w:sz w:val="21"/>
          <w:szCs w:val="21"/>
        </w:rPr>
        <w:t xml:space="preserve">2009, il intervient régulièrement sur plusieurs chapitres clés liés à l’organisation des assemblées générales et </w:t>
      </w:r>
      <w:r w:rsidR="00CF7A78">
        <w:rPr>
          <w:rStyle w:val="lev"/>
          <w:rFonts w:ascii="Arial" w:hAnsi="Arial" w:cs="Arial"/>
          <w:color w:val="000000"/>
          <w:sz w:val="21"/>
          <w:szCs w:val="21"/>
        </w:rPr>
        <w:t xml:space="preserve">spéciales et </w:t>
      </w:r>
      <w:r w:rsidR="00645955" w:rsidRPr="00DF603D">
        <w:rPr>
          <w:rStyle w:val="lev"/>
          <w:rFonts w:ascii="Arial" w:hAnsi="Arial" w:cs="Arial"/>
          <w:color w:val="000000"/>
          <w:sz w:val="21"/>
          <w:szCs w:val="21"/>
        </w:rPr>
        <w:t xml:space="preserve">à </w:t>
      </w:r>
      <w:r w:rsidR="00CF7A78">
        <w:rPr>
          <w:rStyle w:val="lev"/>
          <w:rFonts w:ascii="Arial" w:hAnsi="Arial" w:cs="Arial"/>
          <w:color w:val="000000"/>
          <w:sz w:val="21"/>
          <w:szCs w:val="21"/>
        </w:rPr>
        <w:t xml:space="preserve">leur </w:t>
      </w:r>
      <w:r w:rsidR="00645955" w:rsidRPr="00DF603D">
        <w:rPr>
          <w:rStyle w:val="lev"/>
          <w:rFonts w:ascii="Arial" w:hAnsi="Arial" w:cs="Arial"/>
          <w:color w:val="000000"/>
          <w:sz w:val="21"/>
          <w:szCs w:val="21"/>
        </w:rPr>
        <w:t xml:space="preserve">sécurisation </w:t>
      </w:r>
      <w:r w:rsidR="00CF7A78">
        <w:rPr>
          <w:rStyle w:val="lev"/>
          <w:rFonts w:ascii="Arial" w:hAnsi="Arial" w:cs="Arial"/>
          <w:color w:val="000000"/>
          <w:sz w:val="21"/>
          <w:szCs w:val="21"/>
        </w:rPr>
        <w:t>juridique</w:t>
      </w:r>
      <w:r w:rsidR="00645955" w:rsidRPr="00DF603D">
        <w:rPr>
          <w:rStyle w:val="lev"/>
          <w:rFonts w:ascii="Arial" w:hAnsi="Arial" w:cs="Arial"/>
          <w:color w:val="000000"/>
          <w:sz w:val="21"/>
          <w:szCs w:val="21"/>
        </w:rPr>
        <w:t>.</w:t>
      </w:r>
    </w:p>
    <w:p w14:paraId="15879B56" w14:textId="77777777" w:rsidR="00062C72" w:rsidRPr="00DF603D" w:rsidRDefault="00062C72" w:rsidP="00E54DAE">
      <w:pPr>
        <w:spacing w:after="0" w:line="276" w:lineRule="auto"/>
        <w:jc w:val="both"/>
        <w:rPr>
          <w:rStyle w:val="lev"/>
          <w:rFonts w:ascii="Arial" w:hAnsi="Arial" w:cs="Arial"/>
          <w:color w:val="000000"/>
          <w:sz w:val="21"/>
          <w:szCs w:val="21"/>
        </w:rPr>
      </w:pPr>
    </w:p>
    <w:p w14:paraId="2AD32022" w14:textId="785DE9CE" w:rsidR="00DF603D" w:rsidRDefault="00482CA1" w:rsidP="00062C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DF603D">
        <w:rPr>
          <w:rFonts w:ascii="Arial" w:hAnsi="Arial" w:cs="Arial"/>
          <w:color w:val="000000"/>
          <w:sz w:val="21"/>
          <w:szCs w:val="21"/>
        </w:rPr>
        <w:t>L</w:t>
      </w:r>
      <w:r w:rsidR="00062C72" w:rsidRPr="00DF603D">
        <w:rPr>
          <w:rFonts w:ascii="Arial" w:hAnsi="Arial" w:cs="Arial"/>
          <w:color w:val="000000"/>
          <w:sz w:val="21"/>
          <w:szCs w:val="21"/>
        </w:rPr>
        <w:t>e</w:t>
      </w:r>
      <w:r w:rsidR="00062C72" w:rsidRPr="00DF603D">
        <w:rPr>
          <w:rStyle w:val="apple-converted-space"/>
          <w:rFonts w:ascii="Arial" w:eastAsiaTheme="majorEastAsia" w:hAnsi="Arial" w:cs="Arial"/>
          <w:color w:val="000000"/>
          <w:sz w:val="21"/>
          <w:szCs w:val="21"/>
        </w:rPr>
        <w:t> </w:t>
      </w:r>
      <w:r w:rsidR="00062C72" w:rsidRPr="00DF603D">
        <w:rPr>
          <w:rStyle w:val="lev"/>
          <w:rFonts w:ascii="Arial" w:eastAsiaTheme="majorEastAsia" w:hAnsi="Arial" w:cs="Arial"/>
          <w:b w:val="0"/>
          <w:bCs w:val="0"/>
          <w:color w:val="000000"/>
          <w:sz w:val="21"/>
          <w:szCs w:val="21"/>
        </w:rPr>
        <w:t xml:space="preserve">Mémento Assemblées </w:t>
      </w:r>
      <w:r w:rsidR="00506642">
        <w:rPr>
          <w:rStyle w:val="lev"/>
          <w:rFonts w:ascii="Arial" w:eastAsiaTheme="majorEastAsia" w:hAnsi="Arial" w:cs="Arial"/>
          <w:b w:val="0"/>
          <w:bCs w:val="0"/>
          <w:color w:val="000000"/>
          <w:sz w:val="21"/>
          <w:szCs w:val="21"/>
        </w:rPr>
        <w:t>g</w:t>
      </w:r>
      <w:r w:rsidR="00062C72" w:rsidRPr="00DF603D">
        <w:rPr>
          <w:rStyle w:val="lev"/>
          <w:rFonts w:ascii="Arial" w:eastAsiaTheme="majorEastAsia" w:hAnsi="Arial" w:cs="Arial"/>
          <w:b w:val="0"/>
          <w:bCs w:val="0"/>
          <w:color w:val="000000"/>
          <w:sz w:val="21"/>
          <w:szCs w:val="21"/>
        </w:rPr>
        <w:t>énérales</w:t>
      </w:r>
      <w:r w:rsidR="00DF603D" w:rsidRPr="00DF603D">
        <w:rPr>
          <w:rStyle w:val="lev"/>
          <w:rFonts w:ascii="Arial" w:eastAsiaTheme="majorEastAsia" w:hAnsi="Arial" w:cs="Arial"/>
          <w:b w:val="0"/>
          <w:bCs w:val="0"/>
          <w:color w:val="000000"/>
          <w:sz w:val="21"/>
          <w:szCs w:val="21"/>
        </w:rPr>
        <w:t xml:space="preserve"> des Editions Francis Lefebvre</w:t>
      </w:r>
      <w:r w:rsidR="00062C72" w:rsidRPr="00DF603D">
        <w:rPr>
          <w:rStyle w:val="lev"/>
          <w:rFonts w:ascii="Arial" w:eastAsiaTheme="majorEastAsia" w:hAnsi="Arial" w:cs="Arial"/>
          <w:color w:val="000000"/>
          <w:sz w:val="21"/>
          <w:szCs w:val="21"/>
        </w:rPr>
        <w:t xml:space="preserve"> </w:t>
      </w:r>
      <w:r w:rsidR="00DF603D" w:rsidRPr="00DF603D">
        <w:rPr>
          <w:rFonts w:ascii="Arial" w:hAnsi="Arial" w:cs="Arial"/>
          <w:color w:val="000000"/>
          <w:sz w:val="21"/>
          <w:szCs w:val="21"/>
        </w:rPr>
        <w:t>est un outil de référence pour</w:t>
      </w:r>
      <w:r w:rsidR="00765C54" w:rsidRPr="00DF603D">
        <w:rPr>
          <w:rFonts w:ascii="Arial" w:hAnsi="Arial" w:cs="Arial"/>
          <w:color w:val="000000"/>
          <w:sz w:val="21"/>
          <w:szCs w:val="21"/>
        </w:rPr>
        <w:t xml:space="preserve"> les professionnels dans la préparation et la tenue des assemblées générales des SARL, SAS et SA, en intégrant à chaque édition les dernières évolutions légales et pratiques. Il suit</w:t>
      </w:r>
      <w:r w:rsidR="00765C54" w:rsidRPr="00DF603D">
        <w:rPr>
          <w:rStyle w:val="apple-converted-space"/>
          <w:rFonts w:ascii="Arial" w:eastAsiaTheme="majorEastAsia" w:hAnsi="Arial" w:cs="Arial"/>
          <w:color w:val="000000"/>
          <w:sz w:val="21"/>
          <w:szCs w:val="21"/>
        </w:rPr>
        <w:t> </w:t>
      </w:r>
      <w:r w:rsidR="00765C54" w:rsidRPr="00DF603D">
        <w:rPr>
          <w:rStyle w:val="lev"/>
          <w:rFonts w:ascii="Arial" w:eastAsiaTheme="majorEastAsia" w:hAnsi="Arial" w:cs="Arial"/>
          <w:b w:val="0"/>
          <w:bCs w:val="0"/>
          <w:color w:val="000000"/>
          <w:sz w:val="21"/>
          <w:szCs w:val="21"/>
        </w:rPr>
        <w:t>une approche chronologique</w:t>
      </w:r>
      <w:r w:rsidR="00765C54" w:rsidRPr="00DF603D">
        <w:rPr>
          <w:rStyle w:val="apple-converted-space"/>
          <w:rFonts w:ascii="Arial" w:eastAsiaTheme="majorEastAsia" w:hAnsi="Arial" w:cs="Arial"/>
          <w:color w:val="000000"/>
          <w:sz w:val="21"/>
          <w:szCs w:val="21"/>
        </w:rPr>
        <w:t> </w:t>
      </w:r>
      <w:r w:rsidR="00765C54" w:rsidRPr="00DF603D">
        <w:rPr>
          <w:rFonts w:ascii="Arial" w:hAnsi="Arial" w:cs="Arial"/>
          <w:color w:val="000000"/>
          <w:sz w:val="21"/>
          <w:szCs w:val="21"/>
        </w:rPr>
        <w:t>et propose des</w:t>
      </w:r>
      <w:r w:rsidR="00765C54" w:rsidRPr="00DF603D">
        <w:rPr>
          <w:rStyle w:val="apple-converted-space"/>
          <w:rFonts w:ascii="Arial" w:eastAsiaTheme="majorEastAsia" w:hAnsi="Arial" w:cs="Arial"/>
          <w:color w:val="000000"/>
          <w:sz w:val="21"/>
          <w:szCs w:val="21"/>
        </w:rPr>
        <w:t> </w:t>
      </w:r>
      <w:r w:rsidR="00765C54" w:rsidRPr="00DF603D">
        <w:rPr>
          <w:rStyle w:val="lev"/>
          <w:rFonts w:ascii="Arial" w:eastAsiaTheme="majorEastAsia" w:hAnsi="Arial" w:cs="Arial"/>
          <w:b w:val="0"/>
          <w:bCs w:val="0"/>
          <w:color w:val="000000"/>
          <w:sz w:val="21"/>
          <w:szCs w:val="21"/>
        </w:rPr>
        <w:t>modèles de documents</w:t>
      </w:r>
      <w:r w:rsidR="00765C54" w:rsidRPr="00DF603D">
        <w:rPr>
          <w:rFonts w:ascii="Arial" w:hAnsi="Arial" w:cs="Arial"/>
          <w:color w:val="000000"/>
          <w:sz w:val="21"/>
          <w:szCs w:val="21"/>
        </w:rPr>
        <w:t>, des</w:t>
      </w:r>
      <w:r w:rsidR="00765C54" w:rsidRPr="00DF603D">
        <w:rPr>
          <w:rStyle w:val="apple-converted-space"/>
          <w:rFonts w:ascii="Arial" w:eastAsiaTheme="majorEastAsia" w:hAnsi="Arial" w:cs="Arial"/>
          <w:color w:val="000000"/>
          <w:sz w:val="21"/>
          <w:szCs w:val="21"/>
        </w:rPr>
        <w:t> </w:t>
      </w:r>
      <w:r w:rsidR="00765C54" w:rsidRPr="00DF603D">
        <w:rPr>
          <w:rStyle w:val="lev"/>
          <w:rFonts w:ascii="Arial" w:eastAsiaTheme="majorEastAsia" w:hAnsi="Arial" w:cs="Arial"/>
          <w:b w:val="0"/>
          <w:bCs w:val="0"/>
          <w:color w:val="000000"/>
          <w:sz w:val="21"/>
          <w:szCs w:val="21"/>
        </w:rPr>
        <w:t>tableaux de synthèse</w:t>
      </w:r>
      <w:r w:rsidR="00765C54" w:rsidRPr="00DF603D">
        <w:rPr>
          <w:rStyle w:val="apple-converted-space"/>
          <w:rFonts w:ascii="Arial" w:eastAsiaTheme="majorEastAsia" w:hAnsi="Arial" w:cs="Arial"/>
          <w:color w:val="000000"/>
          <w:sz w:val="21"/>
          <w:szCs w:val="21"/>
        </w:rPr>
        <w:t> </w:t>
      </w:r>
      <w:r w:rsidR="00765C54" w:rsidRPr="00DF603D">
        <w:rPr>
          <w:rFonts w:ascii="Arial" w:hAnsi="Arial" w:cs="Arial"/>
          <w:color w:val="000000"/>
          <w:sz w:val="21"/>
          <w:szCs w:val="21"/>
        </w:rPr>
        <w:t>ainsi qu’un</w:t>
      </w:r>
      <w:r w:rsidR="00765C54" w:rsidRPr="00DF603D">
        <w:rPr>
          <w:rStyle w:val="apple-converted-space"/>
          <w:rFonts w:ascii="Arial" w:eastAsiaTheme="majorEastAsia" w:hAnsi="Arial" w:cs="Arial"/>
          <w:color w:val="000000"/>
          <w:sz w:val="21"/>
          <w:szCs w:val="21"/>
        </w:rPr>
        <w:t> </w:t>
      </w:r>
      <w:r w:rsidR="00765C54" w:rsidRPr="00DF603D">
        <w:rPr>
          <w:rStyle w:val="lev"/>
          <w:rFonts w:ascii="Arial" w:eastAsiaTheme="majorEastAsia" w:hAnsi="Arial" w:cs="Arial"/>
          <w:b w:val="0"/>
          <w:bCs w:val="0"/>
          <w:color w:val="000000"/>
          <w:sz w:val="21"/>
          <w:szCs w:val="21"/>
        </w:rPr>
        <w:t>échéancier</w:t>
      </w:r>
      <w:r w:rsidR="00645955" w:rsidRPr="00DF603D">
        <w:rPr>
          <w:rStyle w:val="lev"/>
          <w:rFonts w:ascii="Arial" w:eastAsiaTheme="majorEastAsia" w:hAnsi="Arial" w:cs="Arial"/>
          <w:b w:val="0"/>
          <w:bCs w:val="0"/>
          <w:color w:val="000000"/>
          <w:sz w:val="21"/>
          <w:szCs w:val="21"/>
        </w:rPr>
        <w:t xml:space="preserve"> détaillé</w:t>
      </w:r>
      <w:r w:rsidR="00765C54" w:rsidRPr="00DF603D">
        <w:rPr>
          <w:rStyle w:val="lev"/>
          <w:rFonts w:ascii="Arial" w:eastAsiaTheme="majorEastAsia" w:hAnsi="Arial" w:cs="Arial"/>
          <w:b w:val="0"/>
          <w:bCs w:val="0"/>
          <w:color w:val="000000"/>
          <w:sz w:val="21"/>
          <w:szCs w:val="21"/>
        </w:rPr>
        <w:t xml:space="preserve"> des opérations dans les SARL et SA</w:t>
      </w:r>
      <w:r w:rsidR="00765C54" w:rsidRPr="00DF603D">
        <w:rPr>
          <w:rFonts w:ascii="Arial" w:hAnsi="Arial" w:cs="Arial"/>
          <w:color w:val="000000"/>
          <w:sz w:val="21"/>
          <w:szCs w:val="21"/>
        </w:rPr>
        <w:t xml:space="preserve">. </w:t>
      </w:r>
    </w:p>
    <w:p w14:paraId="7756C593" w14:textId="77777777" w:rsidR="00DF603D" w:rsidRDefault="00DF603D" w:rsidP="00062C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7DD3E402" w14:textId="008487B4" w:rsidR="00765C54" w:rsidRPr="00DF603D" w:rsidRDefault="00765C54" w:rsidP="00062C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DF603D">
        <w:rPr>
          <w:rFonts w:ascii="Arial" w:hAnsi="Arial" w:cs="Arial"/>
          <w:color w:val="000000"/>
          <w:sz w:val="21"/>
          <w:szCs w:val="21"/>
        </w:rPr>
        <w:t>Le Mémento couvre l’ensemble des règles applicables aux décisions collectives, qu’elles soient prises en assemblée ou par d’autres modes de consultation, y compris dans les EURL, SASU et sociétés cotées. Il aborde également l’impact des nouvelles technologies sur ces réunions : communication numérique, vote électronique, visioconférence et blockchain.</w:t>
      </w:r>
    </w:p>
    <w:p w14:paraId="3D025306" w14:textId="77777777" w:rsidR="00765C54" w:rsidRPr="00DF603D" w:rsidRDefault="00765C54" w:rsidP="00062C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70490AB0" w14:textId="71A83B0C" w:rsidR="00765C54" w:rsidRPr="00DF603D" w:rsidRDefault="00765C54" w:rsidP="00062C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DF603D">
        <w:rPr>
          <w:rStyle w:val="lev"/>
          <w:rFonts w:ascii="Arial" w:eastAsiaTheme="majorEastAsia" w:hAnsi="Arial" w:cs="Arial"/>
          <w:b w:val="0"/>
          <w:bCs w:val="0"/>
          <w:color w:val="000000"/>
          <w:sz w:val="21"/>
          <w:szCs w:val="21"/>
        </w:rPr>
        <w:t>Christophe Vannoote</w:t>
      </w:r>
      <w:r w:rsidRPr="00DF603D">
        <w:rPr>
          <w:rStyle w:val="apple-converted-space"/>
          <w:rFonts w:ascii="Arial" w:eastAsiaTheme="majorEastAsia" w:hAnsi="Arial" w:cs="Arial"/>
          <w:color w:val="000000"/>
          <w:sz w:val="21"/>
          <w:szCs w:val="21"/>
        </w:rPr>
        <w:t> </w:t>
      </w:r>
      <w:r w:rsidRPr="00DF603D">
        <w:rPr>
          <w:rFonts w:ascii="Arial" w:hAnsi="Arial" w:cs="Arial"/>
          <w:color w:val="000000"/>
          <w:sz w:val="21"/>
          <w:szCs w:val="21"/>
        </w:rPr>
        <w:t>participe régulièrement à l’actualisation de plusieurs chapitres clés, notamment sur</w:t>
      </w:r>
      <w:r w:rsidRPr="00DF603D">
        <w:rPr>
          <w:rStyle w:val="apple-converted-space"/>
          <w:rFonts w:ascii="Arial" w:eastAsiaTheme="majorEastAsia" w:hAnsi="Arial" w:cs="Arial"/>
          <w:color w:val="000000"/>
          <w:sz w:val="21"/>
          <w:szCs w:val="21"/>
        </w:rPr>
        <w:t> </w:t>
      </w:r>
      <w:r w:rsidR="00643258">
        <w:rPr>
          <w:rStyle w:val="lev"/>
          <w:rFonts w:ascii="Arial" w:eastAsiaTheme="majorEastAsia" w:hAnsi="Arial" w:cs="Arial"/>
          <w:b w:val="0"/>
          <w:bCs w:val="0"/>
          <w:color w:val="000000"/>
          <w:sz w:val="21"/>
          <w:szCs w:val="21"/>
        </w:rPr>
        <w:t>la date et le lieu de l’assemblée</w:t>
      </w:r>
      <w:r w:rsidRPr="00DF603D">
        <w:rPr>
          <w:rStyle w:val="lev"/>
          <w:rFonts w:ascii="Arial" w:eastAsiaTheme="majorEastAsia" w:hAnsi="Arial" w:cs="Arial"/>
          <w:b w:val="0"/>
          <w:bCs w:val="0"/>
          <w:color w:val="000000"/>
          <w:sz w:val="21"/>
          <w:szCs w:val="21"/>
        </w:rPr>
        <w:t>, les incidents de séance</w:t>
      </w:r>
      <w:r w:rsidR="00CF7A78">
        <w:rPr>
          <w:rStyle w:val="lev"/>
          <w:rFonts w:ascii="Arial" w:eastAsiaTheme="majorEastAsia" w:hAnsi="Arial" w:cs="Arial"/>
          <w:b w:val="0"/>
          <w:bCs w:val="0"/>
          <w:color w:val="000000"/>
          <w:sz w:val="21"/>
          <w:szCs w:val="21"/>
        </w:rPr>
        <w:t>, les assemblées spéciales</w:t>
      </w:r>
      <w:r w:rsidRPr="00DF603D">
        <w:rPr>
          <w:rStyle w:val="lev"/>
          <w:rFonts w:ascii="Arial" w:eastAsiaTheme="majorEastAsia" w:hAnsi="Arial" w:cs="Arial"/>
          <w:b w:val="0"/>
          <w:bCs w:val="0"/>
          <w:color w:val="000000"/>
          <w:sz w:val="21"/>
          <w:szCs w:val="21"/>
        </w:rPr>
        <w:t xml:space="preserve"> et les effets des décisions collectives</w:t>
      </w:r>
      <w:r w:rsidRPr="00DF603D">
        <w:rPr>
          <w:rFonts w:ascii="Arial" w:hAnsi="Arial" w:cs="Arial"/>
          <w:color w:val="000000"/>
          <w:sz w:val="21"/>
          <w:szCs w:val="21"/>
        </w:rPr>
        <w:t>, afin d’apporter aux praticiens des</w:t>
      </w:r>
      <w:r w:rsidRPr="00DF603D">
        <w:rPr>
          <w:rStyle w:val="apple-converted-space"/>
          <w:rFonts w:ascii="Arial" w:eastAsiaTheme="majorEastAsia" w:hAnsi="Arial" w:cs="Arial"/>
          <w:color w:val="000000"/>
          <w:sz w:val="21"/>
          <w:szCs w:val="21"/>
        </w:rPr>
        <w:t> </w:t>
      </w:r>
      <w:r w:rsidRPr="00DF603D">
        <w:rPr>
          <w:rStyle w:val="lev"/>
          <w:rFonts w:ascii="Arial" w:eastAsiaTheme="majorEastAsia" w:hAnsi="Arial" w:cs="Arial"/>
          <w:b w:val="0"/>
          <w:bCs w:val="0"/>
          <w:color w:val="000000"/>
          <w:sz w:val="21"/>
          <w:szCs w:val="21"/>
        </w:rPr>
        <w:t>solutions concrètes et sécurisées</w:t>
      </w:r>
      <w:r w:rsidRPr="00DF603D">
        <w:rPr>
          <w:rStyle w:val="apple-converted-space"/>
          <w:rFonts w:ascii="Arial" w:eastAsiaTheme="majorEastAsia" w:hAnsi="Arial" w:cs="Arial"/>
          <w:color w:val="000000"/>
          <w:sz w:val="21"/>
          <w:szCs w:val="21"/>
        </w:rPr>
        <w:t> </w:t>
      </w:r>
      <w:r w:rsidRPr="00DF603D">
        <w:rPr>
          <w:rFonts w:ascii="Arial" w:hAnsi="Arial" w:cs="Arial"/>
          <w:color w:val="000000"/>
          <w:sz w:val="21"/>
          <w:szCs w:val="21"/>
        </w:rPr>
        <w:t>pour leurs obligations légales</w:t>
      </w:r>
      <w:r w:rsidR="00CF7A78">
        <w:rPr>
          <w:rFonts w:ascii="Arial" w:hAnsi="Arial" w:cs="Arial"/>
          <w:color w:val="000000"/>
          <w:sz w:val="21"/>
          <w:szCs w:val="21"/>
        </w:rPr>
        <w:t xml:space="preserve"> et réglementaires</w:t>
      </w:r>
      <w:r w:rsidRPr="00DF603D">
        <w:rPr>
          <w:rFonts w:ascii="Arial" w:hAnsi="Arial" w:cs="Arial"/>
          <w:color w:val="000000"/>
          <w:sz w:val="21"/>
          <w:szCs w:val="21"/>
        </w:rPr>
        <w:t>.</w:t>
      </w:r>
    </w:p>
    <w:p w14:paraId="5AABC439" w14:textId="77777777" w:rsidR="00765C54" w:rsidRPr="00DF603D" w:rsidRDefault="00765C54" w:rsidP="00062C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12E75B73" w14:textId="2648110A" w:rsidR="00062C72" w:rsidRPr="00DF603D" w:rsidRDefault="00765C54" w:rsidP="00062C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DF603D">
        <w:rPr>
          <w:rFonts w:ascii="Arial" w:hAnsi="Arial" w:cs="Arial"/>
          <w:color w:val="000000"/>
          <w:sz w:val="21"/>
          <w:szCs w:val="21"/>
        </w:rPr>
        <w:t>« </w:t>
      </w:r>
      <w:r w:rsidR="003157CE" w:rsidRPr="00DF603D">
        <w:rPr>
          <w:rFonts w:ascii="Arial" w:hAnsi="Arial" w:cs="Arial"/>
          <w:i/>
          <w:iCs/>
          <w:color w:val="000000"/>
          <w:sz w:val="21"/>
          <w:szCs w:val="21"/>
        </w:rPr>
        <w:t xml:space="preserve">Je suis </w:t>
      </w:r>
      <w:r w:rsidR="000D523A" w:rsidRPr="00DF603D">
        <w:rPr>
          <w:rFonts w:ascii="Arial" w:hAnsi="Arial" w:cs="Arial"/>
          <w:i/>
          <w:iCs/>
          <w:color w:val="000000"/>
          <w:sz w:val="21"/>
          <w:szCs w:val="21"/>
        </w:rPr>
        <w:t>ravi</w:t>
      </w:r>
      <w:r w:rsidR="003157CE" w:rsidRPr="00DF603D">
        <w:rPr>
          <w:rFonts w:ascii="Arial" w:hAnsi="Arial" w:cs="Arial"/>
          <w:i/>
          <w:iCs/>
          <w:color w:val="000000"/>
          <w:sz w:val="21"/>
          <w:szCs w:val="21"/>
        </w:rPr>
        <w:t xml:space="preserve"> de </w:t>
      </w:r>
      <w:r w:rsidR="000D523A" w:rsidRPr="00DF603D">
        <w:rPr>
          <w:rFonts w:ascii="Arial" w:hAnsi="Arial" w:cs="Arial"/>
          <w:i/>
          <w:iCs/>
          <w:color w:val="000000"/>
          <w:sz w:val="21"/>
          <w:szCs w:val="21"/>
        </w:rPr>
        <w:t>participer</w:t>
      </w:r>
      <w:r w:rsidR="003157CE" w:rsidRPr="00DF603D">
        <w:rPr>
          <w:rFonts w:ascii="Arial" w:hAnsi="Arial" w:cs="Arial"/>
          <w:i/>
          <w:iCs/>
          <w:color w:val="000000"/>
          <w:sz w:val="21"/>
          <w:szCs w:val="21"/>
        </w:rPr>
        <w:t xml:space="preserve"> une nouvelle fois à l’actualisation du Mémento Assemblées </w:t>
      </w:r>
      <w:r w:rsidR="00643258">
        <w:rPr>
          <w:rFonts w:ascii="Arial" w:hAnsi="Arial" w:cs="Arial"/>
          <w:i/>
          <w:iCs/>
          <w:color w:val="000000"/>
          <w:sz w:val="21"/>
          <w:szCs w:val="21"/>
        </w:rPr>
        <w:t>g</w:t>
      </w:r>
      <w:r w:rsidR="003157CE" w:rsidRPr="00DF603D">
        <w:rPr>
          <w:rFonts w:ascii="Arial" w:hAnsi="Arial" w:cs="Arial"/>
          <w:i/>
          <w:iCs/>
          <w:color w:val="000000"/>
          <w:sz w:val="21"/>
          <w:szCs w:val="21"/>
        </w:rPr>
        <w:t xml:space="preserve">énérales pour offrir aux praticiens une vision claire et pragmatique des obligations légales </w:t>
      </w:r>
      <w:r w:rsidR="00CF7A78">
        <w:rPr>
          <w:rFonts w:ascii="Arial" w:hAnsi="Arial" w:cs="Arial"/>
          <w:i/>
          <w:iCs/>
          <w:color w:val="000000"/>
          <w:sz w:val="21"/>
          <w:szCs w:val="21"/>
        </w:rPr>
        <w:t xml:space="preserve">et réglementaires </w:t>
      </w:r>
      <w:r w:rsidR="003157CE" w:rsidRPr="00DF603D">
        <w:rPr>
          <w:rFonts w:ascii="Arial" w:hAnsi="Arial" w:cs="Arial"/>
          <w:i/>
          <w:iCs/>
          <w:color w:val="000000"/>
          <w:sz w:val="21"/>
          <w:szCs w:val="21"/>
        </w:rPr>
        <w:t>qui encadrent la gouvernance des entreprises</w:t>
      </w:r>
      <w:r w:rsidR="00AD7A7B">
        <w:rPr>
          <w:rFonts w:ascii="Arial" w:hAnsi="Arial" w:cs="Arial"/>
          <w:i/>
          <w:iCs/>
          <w:color w:val="000000"/>
          <w:sz w:val="21"/>
          <w:szCs w:val="21"/>
        </w:rPr>
        <w:t xml:space="preserve"> cotées ou non</w:t>
      </w:r>
      <w:r w:rsidR="003157CE" w:rsidRPr="00DF603D">
        <w:rPr>
          <w:rFonts w:ascii="Arial" w:hAnsi="Arial" w:cs="Arial"/>
          <w:i/>
          <w:iCs/>
          <w:color w:val="000000"/>
          <w:sz w:val="21"/>
          <w:szCs w:val="21"/>
        </w:rPr>
        <w:t xml:space="preserve">. Les assemblées évoluent </w:t>
      </w:r>
      <w:r w:rsidR="00AD7A7B" w:rsidRPr="00506642">
        <w:rPr>
          <w:rFonts w:ascii="Arial" w:hAnsi="Arial" w:cs="Arial"/>
          <w:i/>
          <w:iCs/>
          <w:color w:val="000000"/>
          <w:sz w:val="21"/>
          <w:szCs w:val="21"/>
        </w:rPr>
        <w:t xml:space="preserve">régulièrement </w:t>
      </w:r>
      <w:r w:rsidR="003157CE" w:rsidRPr="00506642">
        <w:rPr>
          <w:rFonts w:ascii="Arial" w:hAnsi="Arial" w:cs="Arial"/>
          <w:i/>
          <w:iCs/>
          <w:color w:val="000000"/>
          <w:sz w:val="21"/>
          <w:szCs w:val="21"/>
        </w:rPr>
        <w:t xml:space="preserve">avec la réglementation : il est crucial d’adapter les </w:t>
      </w:r>
      <w:r w:rsidR="00AD7A7B" w:rsidRPr="00506642">
        <w:rPr>
          <w:rFonts w:ascii="Arial" w:hAnsi="Arial" w:cs="Arial"/>
          <w:i/>
          <w:iCs/>
          <w:color w:val="000000"/>
          <w:sz w:val="21"/>
          <w:szCs w:val="21"/>
        </w:rPr>
        <w:t xml:space="preserve">pratiques </w:t>
      </w:r>
      <w:r w:rsidR="003157CE" w:rsidRPr="00506642">
        <w:rPr>
          <w:rFonts w:ascii="Arial" w:hAnsi="Arial" w:cs="Arial"/>
          <w:i/>
          <w:iCs/>
          <w:color w:val="000000"/>
          <w:sz w:val="21"/>
          <w:szCs w:val="21"/>
        </w:rPr>
        <w:t>à ces changements</w:t>
      </w:r>
      <w:r w:rsidR="003157CE" w:rsidRPr="00DF603D">
        <w:rPr>
          <w:rFonts w:ascii="Arial" w:hAnsi="Arial" w:cs="Arial"/>
          <w:i/>
          <w:iCs/>
          <w:color w:val="000000"/>
          <w:sz w:val="21"/>
          <w:szCs w:val="21"/>
        </w:rPr>
        <w:t xml:space="preserve"> pour accompagner efficacement les </w:t>
      </w:r>
      <w:r w:rsidR="00C63F1A">
        <w:rPr>
          <w:rFonts w:ascii="Arial" w:hAnsi="Arial" w:cs="Arial"/>
          <w:i/>
          <w:iCs/>
          <w:color w:val="000000"/>
          <w:sz w:val="21"/>
          <w:szCs w:val="21"/>
        </w:rPr>
        <w:t xml:space="preserve">responsables des entreprises ainsi que les </w:t>
      </w:r>
      <w:r w:rsidR="003157CE" w:rsidRPr="00DF603D">
        <w:rPr>
          <w:rFonts w:ascii="Arial" w:hAnsi="Arial" w:cs="Arial"/>
          <w:i/>
          <w:iCs/>
          <w:color w:val="000000"/>
          <w:sz w:val="21"/>
          <w:szCs w:val="21"/>
        </w:rPr>
        <w:t>professionnels du droit et du chiffre</w:t>
      </w:r>
      <w:r w:rsidR="00AD7A7B">
        <w:rPr>
          <w:rFonts w:ascii="Arial" w:hAnsi="Arial" w:cs="Arial"/>
          <w:i/>
          <w:iCs/>
          <w:color w:val="000000"/>
          <w:sz w:val="21"/>
          <w:szCs w:val="21"/>
        </w:rPr>
        <w:t>. J</w:t>
      </w:r>
      <w:r w:rsidR="00236F9A">
        <w:rPr>
          <w:rFonts w:ascii="Arial" w:hAnsi="Arial" w:cs="Arial"/>
          <w:i/>
          <w:iCs/>
          <w:color w:val="000000"/>
          <w:sz w:val="21"/>
          <w:szCs w:val="21"/>
        </w:rPr>
        <w:t xml:space="preserve">’en profite pour </w:t>
      </w:r>
      <w:r w:rsidR="00AD7A7B">
        <w:rPr>
          <w:rFonts w:ascii="Arial" w:hAnsi="Arial" w:cs="Arial"/>
          <w:i/>
          <w:iCs/>
          <w:color w:val="000000"/>
          <w:sz w:val="21"/>
          <w:szCs w:val="21"/>
        </w:rPr>
        <w:t>remercie</w:t>
      </w:r>
      <w:r w:rsidR="00236F9A">
        <w:rPr>
          <w:rFonts w:ascii="Arial" w:hAnsi="Arial" w:cs="Arial"/>
          <w:i/>
          <w:iCs/>
          <w:color w:val="000000"/>
          <w:sz w:val="21"/>
          <w:szCs w:val="21"/>
        </w:rPr>
        <w:t>r</w:t>
      </w:r>
      <w:r w:rsidR="00AD7A7B">
        <w:rPr>
          <w:rFonts w:ascii="Arial" w:hAnsi="Arial" w:cs="Arial"/>
          <w:i/>
          <w:iCs/>
          <w:color w:val="000000"/>
          <w:sz w:val="21"/>
          <w:szCs w:val="21"/>
        </w:rPr>
        <w:t xml:space="preserve"> l</w:t>
      </w:r>
      <w:r w:rsidR="00686D61">
        <w:rPr>
          <w:rFonts w:ascii="Arial" w:hAnsi="Arial" w:cs="Arial"/>
          <w:i/>
          <w:iCs/>
          <w:color w:val="000000"/>
          <w:sz w:val="21"/>
          <w:szCs w:val="21"/>
        </w:rPr>
        <w:t>’</w:t>
      </w:r>
      <w:r w:rsidR="00AD7A7B">
        <w:rPr>
          <w:rFonts w:ascii="Arial" w:hAnsi="Arial" w:cs="Arial"/>
          <w:i/>
          <w:iCs/>
          <w:color w:val="000000"/>
          <w:sz w:val="21"/>
          <w:szCs w:val="21"/>
        </w:rPr>
        <w:t xml:space="preserve">équipe des Editions Francis Lefebvre animée par Gaëlle Leduc </w:t>
      </w:r>
      <w:r w:rsidR="00EA248C">
        <w:rPr>
          <w:rFonts w:ascii="Arial" w:hAnsi="Arial" w:cs="Arial"/>
          <w:i/>
          <w:iCs/>
          <w:color w:val="000000"/>
          <w:sz w:val="21"/>
          <w:szCs w:val="21"/>
        </w:rPr>
        <w:t>de</w:t>
      </w:r>
      <w:r w:rsidR="00AD7A7B">
        <w:rPr>
          <w:rFonts w:ascii="Arial" w:hAnsi="Arial" w:cs="Arial"/>
          <w:i/>
          <w:iCs/>
          <w:color w:val="000000"/>
          <w:sz w:val="21"/>
          <w:szCs w:val="21"/>
        </w:rPr>
        <w:t xml:space="preserve"> leur confiance et félicite </w:t>
      </w:r>
      <w:r w:rsidR="00AC3654">
        <w:rPr>
          <w:rFonts w:ascii="Arial" w:hAnsi="Arial" w:cs="Arial"/>
          <w:i/>
          <w:iCs/>
          <w:color w:val="000000"/>
          <w:sz w:val="21"/>
          <w:szCs w:val="21"/>
        </w:rPr>
        <w:t xml:space="preserve">l’ensemble des </w:t>
      </w:r>
      <w:r w:rsidR="00AD7A7B">
        <w:rPr>
          <w:rFonts w:ascii="Arial" w:hAnsi="Arial" w:cs="Arial"/>
          <w:i/>
          <w:iCs/>
          <w:color w:val="000000"/>
          <w:sz w:val="21"/>
          <w:szCs w:val="21"/>
        </w:rPr>
        <w:t>autres aut</w:t>
      </w:r>
      <w:r w:rsidR="00AC3654">
        <w:rPr>
          <w:rFonts w:ascii="Arial" w:hAnsi="Arial" w:cs="Arial"/>
          <w:i/>
          <w:iCs/>
          <w:color w:val="000000"/>
          <w:sz w:val="21"/>
          <w:szCs w:val="21"/>
        </w:rPr>
        <w:t>eurs</w:t>
      </w:r>
      <w:r w:rsidR="00EA248C">
        <w:rPr>
          <w:rFonts w:ascii="Arial" w:hAnsi="Arial" w:cs="Arial"/>
          <w:i/>
          <w:iCs/>
          <w:color w:val="000000"/>
          <w:sz w:val="21"/>
          <w:szCs w:val="21"/>
        </w:rPr>
        <w:t xml:space="preserve"> ayant participé à cet ouvrage</w:t>
      </w:r>
      <w:r w:rsidR="004522C8">
        <w:rPr>
          <w:rFonts w:ascii="Arial" w:hAnsi="Arial" w:cs="Arial"/>
          <w:i/>
          <w:iCs/>
          <w:color w:val="000000"/>
          <w:sz w:val="21"/>
          <w:szCs w:val="21"/>
        </w:rPr>
        <w:t xml:space="preserve">, dont Anne </w:t>
      </w:r>
      <w:proofErr w:type="spellStart"/>
      <w:r w:rsidR="004522C8">
        <w:rPr>
          <w:rFonts w:ascii="Arial" w:hAnsi="Arial" w:cs="Arial"/>
          <w:i/>
          <w:iCs/>
          <w:color w:val="000000"/>
          <w:sz w:val="21"/>
          <w:szCs w:val="21"/>
        </w:rPr>
        <w:t>Charvéri</w:t>
      </w:r>
      <w:r w:rsidR="00A64733">
        <w:rPr>
          <w:rFonts w:ascii="Arial" w:hAnsi="Arial" w:cs="Arial"/>
          <w:i/>
          <w:iCs/>
          <w:color w:val="000000"/>
          <w:sz w:val="21"/>
          <w:szCs w:val="21"/>
        </w:rPr>
        <w:t>a</w:t>
      </w:r>
      <w:r w:rsidR="004522C8">
        <w:rPr>
          <w:rFonts w:ascii="Arial" w:hAnsi="Arial" w:cs="Arial"/>
          <w:i/>
          <w:iCs/>
          <w:color w:val="000000"/>
          <w:sz w:val="21"/>
          <w:szCs w:val="21"/>
        </w:rPr>
        <w:t>t</w:t>
      </w:r>
      <w:proofErr w:type="spellEnd"/>
      <w:r w:rsidR="004522C8">
        <w:rPr>
          <w:rFonts w:ascii="Arial" w:hAnsi="Arial" w:cs="Arial"/>
          <w:i/>
          <w:iCs/>
          <w:color w:val="000000"/>
          <w:sz w:val="21"/>
          <w:szCs w:val="21"/>
        </w:rPr>
        <w:t xml:space="preserve"> et Bruno Dondero</w:t>
      </w:r>
      <w:r w:rsidR="003157CE" w:rsidRPr="00DF603D">
        <w:rPr>
          <w:rFonts w:ascii="Arial" w:hAnsi="Arial" w:cs="Arial"/>
          <w:color w:val="000000"/>
          <w:sz w:val="21"/>
          <w:szCs w:val="21"/>
        </w:rPr>
        <w:t> »</w:t>
      </w:r>
      <w:r w:rsidR="00D22211" w:rsidRPr="00DF603D">
        <w:rPr>
          <w:rFonts w:ascii="Arial" w:hAnsi="Arial" w:cs="Arial"/>
          <w:color w:val="000000"/>
          <w:sz w:val="21"/>
          <w:szCs w:val="21"/>
        </w:rPr>
        <w:t>, Christophe Vannoote, associé PDGB.</w:t>
      </w:r>
    </w:p>
    <w:p w14:paraId="6986BF69" w14:textId="77777777" w:rsidR="00062C72" w:rsidRPr="00DF603D" w:rsidRDefault="00062C72" w:rsidP="00E54DAE">
      <w:pPr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182D4732" w14:textId="77777777" w:rsidR="003E08CB" w:rsidRPr="00DF603D" w:rsidRDefault="003E08CB" w:rsidP="00E54DAE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B022257" w14:textId="4CC54B68" w:rsidR="00D22211" w:rsidRPr="00DF603D" w:rsidRDefault="00D22211" w:rsidP="00E54DAE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DF603D">
        <w:rPr>
          <w:rFonts w:ascii="Arial" w:hAnsi="Arial" w:cs="Arial"/>
          <w:b/>
          <w:bCs/>
          <w:color w:val="000000"/>
          <w:sz w:val="21"/>
          <w:szCs w:val="21"/>
        </w:rPr>
        <w:t>A propos de PDGB</w:t>
      </w:r>
    </w:p>
    <w:p w14:paraId="12F76764" w14:textId="457DDAF8" w:rsidR="00D22211" w:rsidRPr="00DF603D" w:rsidRDefault="00D22211" w:rsidP="00E54DAE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06315ECA" w14:textId="3C771F21" w:rsidR="00C01F7E" w:rsidRPr="00DF603D" w:rsidRDefault="003E08CB" w:rsidP="00E54DA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F603D">
        <w:rPr>
          <w:rFonts w:ascii="Arial" w:hAnsi="Arial" w:cs="Arial"/>
          <w:sz w:val="21"/>
          <w:szCs w:val="21"/>
        </w:rPr>
        <w:lastRenderedPageBreak/>
        <w:t>PDGB est un cabinet d'avocats d'affaires pluridisciplinaire engagé depuis près de 40 ans pour un conseil durable, présent en France et à l'international.</w:t>
      </w:r>
    </w:p>
    <w:p w14:paraId="07948C1F" w14:textId="77777777" w:rsidR="00DF603D" w:rsidRPr="00DF603D" w:rsidRDefault="00DF603D" w:rsidP="00DF603D">
      <w:pPr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68D0369C" w14:textId="067BECB2" w:rsidR="00DF603D" w:rsidRPr="00DF603D" w:rsidRDefault="00DF603D" w:rsidP="00DF603D">
      <w:pPr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DF603D">
        <w:rPr>
          <w:rFonts w:ascii="Arial" w:hAnsi="Arial" w:cs="Arial"/>
          <w:color w:val="000000"/>
          <w:sz w:val="21"/>
          <w:szCs w:val="21"/>
        </w:rPr>
        <w:t>PDGB intervient tant en conseil qu'en contentieux. Ses avocats offrent une expertise dans tous les domaines du droit des affaires, notamment en M&amp;A / Private Equity / Venture capital, restructurations, droit commercial, droit fiscal, droit du travail, Immobilier, IP/IT, assurances, entités à but non lucratif / fondations et patrimoine privé.</w:t>
      </w:r>
    </w:p>
    <w:p w14:paraId="16CBE51A" w14:textId="77777777" w:rsidR="00DF603D" w:rsidRPr="00DF603D" w:rsidRDefault="00DF603D" w:rsidP="00DF603D">
      <w:pPr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4AF4CE5D" w14:textId="5B34243B" w:rsidR="00DF603D" w:rsidRPr="00DF603D" w:rsidRDefault="00DF603D" w:rsidP="00DF603D">
      <w:pPr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DF603D">
        <w:rPr>
          <w:rFonts w:ascii="Arial" w:hAnsi="Arial" w:cs="Arial"/>
          <w:color w:val="000000"/>
          <w:sz w:val="21"/>
          <w:szCs w:val="21"/>
        </w:rPr>
        <w:t xml:space="preserve">PDGB est membre du Barreau de Paris et membre actif des réseaux internationaux </w:t>
      </w:r>
      <w:proofErr w:type="spellStart"/>
      <w:r w:rsidRPr="00DF603D">
        <w:rPr>
          <w:rFonts w:ascii="Arial" w:hAnsi="Arial" w:cs="Arial"/>
          <w:color w:val="000000"/>
          <w:sz w:val="21"/>
          <w:szCs w:val="21"/>
        </w:rPr>
        <w:t>TerraLex</w:t>
      </w:r>
      <w:proofErr w:type="spellEnd"/>
      <w:r w:rsidRPr="00DF603D">
        <w:rPr>
          <w:rFonts w:ascii="Arial" w:hAnsi="Arial" w:cs="Arial"/>
          <w:color w:val="000000"/>
          <w:sz w:val="21"/>
          <w:szCs w:val="21"/>
        </w:rPr>
        <w:t xml:space="preserve"> et Andersen, couvrant près de 130 pays et plus de 200 juridictions.</w:t>
      </w:r>
    </w:p>
    <w:p w14:paraId="49C5E67C" w14:textId="77777777" w:rsidR="00C01F7E" w:rsidRPr="00DF603D" w:rsidRDefault="00C01F7E" w:rsidP="00E54DAE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6706C22" w14:textId="09CD0EF5" w:rsidR="00D22211" w:rsidRPr="00DF603D" w:rsidRDefault="00D22211" w:rsidP="00E54DAE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DF603D">
        <w:rPr>
          <w:rFonts w:ascii="Arial" w:hAnsi="Arial" w:cs="Arial"/>
          <w:b/>
          <w:bCs/>
          <w:color w:val="000000"/>
          <w:sz w:val="21"/>
          <w:szCs w:val="21"/>
        </w:rPr>
        <w:t xml:space="preserve">Contacts presse : </w:t>
      </w:r>
    </w:p>
    <w:p w14:paraId="57EB79F4" w14:textId="77777777" w:rsidR="00D22211" w:rsidRPr="00DF603D" w:rsidRDefault="00D22211" w:rsidP="00E54DAE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131CFDC3" w14:textId="743A2EA8" w:rsidR="003E08CB" w:rsidRPr="00DF603D" w:rsidRDefault="003E08CB" w:rsidP="003E08CB">
      <w:pPr>
        <w:pStyle w:val="Sansinterligne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DF603D">
        <w:rPr>
          <w:rFonts w:ascii="Arial" w:hAnsi="Arial" w:cs="Arial"/>
          <w:color w:val="000000" w:themeColor="text1"/>
          <w:sz w:val="21"/>
          <w:szCs w:val="21"/>
        </w:rPr>
        <w:t xml:space="preserve">Amélie Lerosier – Associée </w:t>
      </w:r>
      <w:r w:rsidR="00DF603D">
        <w:rPr>
          <w:rFonts w:ascii="Arial" w:hAnsi="Arial" w:cs="Arial"/>
          <w:color w:val="000000" w:themeColor="text1"/>
          <w:sz w:val="21"/>
          <w:szCs w:val="21"/>
        </w:rPr>
        <w:t xml:space="preserve">– 06 63 58 34 62 </w:t>
      </w:r>
      <w:r w:rsidRPr="00DF603D">
        <w:rPr>
          <w:rFonts w:ascii="Arial" w:hAnsi="Arial" w:cs="Arial"/>
          <w:sz w:val="21"/>
          <w:szCs w:val="21"/>
        </w:rPr>
        <w:t xml:space="preserve">- </w:t>
      </w:r>
      <w:hyperlink r:id="rId6" w:history="1">
        <w:r w:rsidRPr="00DF603D">
          <w:rPr>
            <w:rStyle w:val="Lienhypertexte"/>
            <w:rFonts w:ascii="Arial" w:hAnsi="Arial" w:cs="Arial"/>
            <w:sz w:val="21"/>
            <w:szCs w:val="21"/>
          </w:rPr>
          <w:t>amelie@blue-wall.com</w:t>
        </w:r>
      </w:hyperlink>
    </w:p>
    <w:p w14:paraId="5A3FED97" w14:textId="77777777" w:rsidR="003E08CB" w:rsidRPr="00DF603D" w:rsidRDefault="003E08CB" w:rsidP="003E08CB">
      <w:pPr>
        <w:pStyle w:val="Sansinterligne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DF603D">
        <w:rPr>
          <w:rFonts w:ascii="Arial" w:hAnsi="Arial" w:cs="Arial"/>
          <w:color w:val="000000" w:themeColor="text1"/>
          <w:sz w:val="21"/>
          <w:szCs w:val="21"/>
        </w:rPr>
        <w:t xml:space="preserve">Leah Petel – Consultante médias – </w:t>
      </w:r>
      <w:hyperlink r:id="rId7" w:history="1">
        <w:r w:rsidRPr="00DF603D">
          <w:rPr>
            <w:rStyle w:val="Lienhypertexte"/>
            <w:rFonts w:ascii="Arial" w:hAnsi="Arial" w:cs="Arial"/>
            <w:sz w:val="21"/>
            <w:szCs w:val="21"/>
          </w:rPr>
          <w:t>leah@blue-wall.com</w:t>
        </w:r>
      </w:hyperlink>
      <w:r w:rsidRPr="00DF603D">
        <w:rPr>
          <w:rFonts w:ascii="Arial" w:hAnsi="Arial" w:cs="Arial"/>
          <w:sz w:val="21"/>
          <w:szCs w:val="21"/>
        </w:rPr>
        <w:t xml:space="preserve"> </w:t>
      </w:r>
    </w:p>
    <w:p w14:paraId="029E0DEA" w14:textId="77777777" w:rsidR="00CC1861" w:rsidRPr="00DF603D" w:rsidRDefault="00CC1861" w:rsidP="00CC1861">
      <w:pPr>
        <w:spacing w:after="0"/>
        <w:jc w:val="both"/>
        <w:rPr>
          <w:rFonts w:ascii="Arial" w:hAnsi="Arial" w:cs="Arial"/>
          <w:sz w:val="21"/>
          <w:szCs w:val="21"/>
        </w:rPr>
      </w:pPr>
    </w:p>
    <w:sectPr w:rsidR="00CC1861" w:rsidRPr="00DF60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E78E6" w14:textId="77777777" w:rsidR="00A43B89" w:rsidRDefault="00A43B89" w:rsidP="00EC499B">
      <w:pPr>
        <w:spacing w:after="0" w:line="240" w:lineRule="auto"/>
      </w:pPr>
      <w:r>
        <w:separator/>
      </w:r>
    </w:p>
  </w:endnote>
  <w:endnote w:type="continuationSeparator" w:id="0">
    <w:p w14:paraId="70A25F4F" w14:textId="77777777" w:rsidR="00A43B89" w:rsidRDefault="00A43B89" w:rsidP="00EC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B9D4E" w14:textId="77777777" w:rsidR="00A43B89" w:rsidRDefault="00A43B89" w:rsidP="00EC499B">
      <w:pPr>
        <w:spacing w:after="0" w:line="240" w:lineRule="auto"/>
      </w:pPr>
      <w:r>
        <w:separator/>
      </w:r>
    </w:p>
  </w:footnote>
  <w:footnote w:type="continuationSeparator" w:id="0">
    <w:p w14:paraId="07D5522F" w14:textId="77777777" w:rsidR="00A43B89" w:rsidRDefault="00A43B89" w:rsidP="00EC4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7C288" w14:textId="13080DB6" w:rsidR="00EC499B" w:rsidRDefault="00EC499B">
    <w:pPr>
      <w:pStyle w:val="En-tte"/>
    </w:pPr>
    <w:r>
      <w:fldChar w:fldCharType="begin"/>
    </w:r>
    <w:r w:rsidR="008831A8">
      <w:instrText xml:space="preserve"> INCLUDEPICTURE "C:\\Users\\leahpetel\\Library\\Group Containers\\UBF8T346G9.ms\\WebArchiveCopyPasteTempFiles\\com.microsoft.Word\\644a85341e306273006016.jpg" \* MERGEFORMAT </w:instrText>
    </w:r>
    <w:r>
      <w:fldChar w:fldCharType="separate"/>
    </w:r>
    <w:r>
      <w:rPr>
        <w:noProof/>
      </w:rPr>
      <w:drawing>
        <wp:inline distT="0" distB="0" distL="0" distR="0" wp14:anchorId="6E947CA7" wp14:editId="0FE1C4DE">
          <wp:extent cx="771181" cy="1204733"/>
          <wp:effectExtent l="0" t="0" r="3810" b="1905"/>
          <wp:docPr id="169495041" name="Image 2" descr="ANDRH - PD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H - PDG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51" t="10641" r="25500" b="10860"/>
                  <a:stretch/>
                </pic:blipFill>
                <pic:spPr bwMode="auto">
                  <a:xfrm>
                    <a:off x="0" y="0"/>
                    <a:ext cx="787276" cy="12298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</w:p>
  <w:p w14:paraId="0114A389" w14:textId="77777777" w:rsidR="003157CE" w:rsidRDefault="003157C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7F"/>
    <w:rsid w:val="00062C72"/>
    <w:rsid w:val="000D523A"/>
    <w:rsid w:val="000D5E3A"/>
    <w:rsid w:val="00236F9A"/>
    <w:rsid w:val="002C15F1"/>
    <w:rsid w:val="002C24E6"/>
    <w:rsid w:val="002F785F"/>
    <w:rsid w:val="00310AA2"/>
    <w:rsid w:val="003157CE"/>
    <w:rsid w:val="003913C1"/>
    <w:rsid w:val="003A536D"/>
    <w:rsid w:val="003B79B2"/>
    <w:rsid w:val="003C15C2"/>
    <w:rsid w:val="003E08CB"/>
    <w:rsid w:val="004522C8"/>
    <w:rsid w:val="00482CA1"/>
    <w:rsid w:val="00484992"/>
    <w:rsid w:val="004F36B5"/>
    <w:rsid w:val="00506642"/>
    <w:rsid w:val="00544203"/>
    <w:rsid w:val="005B7C77"/>
    <w:rsid w:val="005E5640"/>
    <w:rsid w:val="00640F64"/>
    <w:rsid w:val="00643258"/>
    <w:rsid w:val="00645955"/>
    <w:rsid w:val="00686D61"/>
    <w:rsid w:val="00765C54"/>
    <w:rsid w:val="008831A8"/>
    <w:rsid w:val="00886F15"/>
    <w:rsid w:val="008E57D0"/>
    <w:rsid w:val="0092167F"/>
    <w:rsid w:val="009A7434"/>
    <w:rsid w:val="009E6E91"/>
    <w:rsid w:val="00A210ED"/>
    <w:rsid w:val="00A43B89"/>
    <w:rsid w:val="00A64733"/>
    <w:rsid w:val="00AC3654"/>
    <w:rsid w:val="00AC5732"/>
    <w:rsid w:val="00AD7A7B"/>
    <w:rsid w:val="00B82129"/>
    <w:rsid w:val="00C01F7E"/>
    <w:rsid w:val="00C6283F"/>
    <w:rsid w:val="00C63F1A"/>
    <w:rsid w:val="00CC1861"/>
    <w:rsid w:val="00CF7A78"/>
    <w:rsid w:val="00D22211"/>
    <w:rsid w:val="00D67639"/>
    <w:rsid w:val="00DF28F3"/>
    <w:rsid w:val="00DF603D"/>
    <w:rsid w:val="00E25618"/>
    <w:rsid w:val="00E45A27"/>
    <w:rsid w:val="00E54DAE"/>
    <w:rsid w:val="00E83779"/>
    <w:rsid w:val="00E86487"/>
    <w:rsid w:val="00EA248C"/>
    <w:rsid w:val="00EC499B"/>
    <w:rsid w:val="00EF69F9"/>
    <w:rsid w:val="00F80A89"/>
    <w:rsid w:val="00FB3E31"/>
    <w:rsid w:val="00FB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2E81"/>
  <w15:chartTrackingRefBased/>
  <w15:docId w15:val="{D90779C4-5621-244B-832C-740CFC60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1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16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21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216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21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21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21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21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1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21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21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2167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2167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2167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2167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2167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2167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21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21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21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21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21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2167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2167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2167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1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167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2167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2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92167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C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499B"/>
  </w:style>
  <w:style w:type="paragraph" w:styleId="Pieddepage">
    <w:name w:val="footer"/>
    <w:basedOn w:val="Normal"/>
    <w:link w:val="PieddepageCar"/>
    <w:uiPriority w:val="99"/>
    <w:unhideWhenUsed/>
    <w:rsid w:val="00EC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499B"/>
  </w:style>
  <w:style w:type="character" w:customStyle="1" w:styleId="apple-converted-space">
    <w:name w:val="apple-converted-space"/>
    <w:basedOn w:val="Policepardfaut"/>
    <w:rsid w:val="00E54DAE"/>
  </w:style>
  <w:style w:type="character" w:styleId="Lienhypertexte">
    <w:name w:val="Hyperlink"/>
    <w:basedOn w:val="Policepardfaut"/>
    <w:uiPriority w:val="99"/>
    <w:unhideWhenUsed/>
    <w:rsid w:val="003E08CB"/>
    <w:rPr>
      <w:color w:val="467886" w:themeColor="hyperlink"/>
      <w:u w:val="single"/>
    </w:rPr>
  </w:style>
  <w:style w:type="paragraph" w:styleId="Sansinterligne">
    <w:name w:val="No Spacing"/>
    <w:uiPriority w:val="1"/>
    <w:qFormat/>
    <w:rsid w:val="003E08CB"/>
    <w:pPr>
      <w:spacing w:after="0" w:line="240" w:lineRule="auto"/>
    </w:pPr>
    <w:rPr>
      <w:kern w:val="0"/>
      <w14:ligatures w14:val="none"/>
    </w:rPr>
  </w:style>
  <w:style w:type="paragraph" w:styleId="Rvision">
    <w:name w:val="Revision"/>
    <w:hidden/>
    <w:uiPriority w:val="99"/>
    <w:semiHidden/>
    <w:rsid w:val="00CF7A78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432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325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325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32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32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eah@blue-wal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elie@blue-wal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Petel | BlueWall</dc:creator>
  <cp:keywords/>
  <dc:description/>
  <cp:lastModifiedBy>Leah Petel | BlueWall</cp:lastModifiedBy>
  <cp:revision>5</cp:revision>
  <dcterms:created xsi:type="dcterms:W3CDTF">2025-03-07T17:39:00Z</dcterms:created>
  <dcterms:modified xsi:type="dcterms:W3CDTF">2025-03-11T08:54:00Z</dcterms:modified>
</cp:coreProperties>
</file>